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III 44</w:t>
      </w:r>
    </w:p>
    <w:p>
      <w:r>
        <w:t>Bundesgericht (BGE), 1972-06-29, DE</w:t>
      </w:r>
    </w:p>
    <w:p>
      <w:r>
        <w:rPr>
          <w:b/>
        </w:rPr>
        <w:t xml:space="preserve">Quelle: </w:t>
      </w:r>
      <w:r>
        <w:t>https://mcp.opencaselaw.ch/entscheid/bge_98 III 44</w:t>
      </w:r>
    </w:p>
    <w:p>
      <w:r>
        <w:t>FR: ATF 98 III 44</w:t>
      </w:r>
    </w:p>
    <w:p>
      <w:r>
        <w:t>IT: DTF 98 III 44</w:t>
      </w:r>
    </w:p>
    <w:p>
      <w:pPr>
        <w:pStyle w:val="Heading2"/>
      </w:pPr>
      <w:r>
        <w:t>Regeste</w:t>
      </w:r>
    </w:p>
    <w:p>
      <w:r>
        <w:t>Regeste Art. 291 SchKG: Umfang der Rückgabepflicht bei der Gläubigeranfechtung. Ausser der Sache selbst sind auch die aus ihr bis zur Inverzugsetzung bezogenen Erträgnisse zurückzuerstatten.</w:t>
      </w:r>
    </w:p>
    <w:p>
      <w:pPr>
        <w:pStyle w:val="Heading2"/>
      </w:pPr>
      <w:r>
        <w:t>Erwägungen</w:t>
      </w:r>
    </w:p>
    <w:p>
      <w:r>
        <w:rPr>
          <w:b/>
        </w:rPr>
        <w:t>E. 3</w:t>
      </w:r>
    </w:p>
    <w:p>
      <w:r>
        <w:t>Was den Umfang der Pflicht zur Rückerstattung des in anfechtbarer Weise empfangenen Vermögenswertes anbetrifft, ist die Vorinstanz zutreffend davon ausgegangen, dass an Stelle der heute nicht mehr möglichen Rückgabe des Schuldbriefes in natura die Pflicht des Beklagten tritt, dessen vollen Wert zu ersetzen. Zur Schuldbriefsumme hinzugerechnet wurde ferner der vom Beklagten bezogene Zins, der im angefochtenen Urteil auf Fr. 2'156.65 beziffert wird. Obwohl die Berücksichtigung dieses Zinses als solche an sich nicht beanstandet worden ist, muss die Frage der Ersatzpflicht des Beklagten für den von ihm bezogenen Zins gesondert geprüft werden, da sie rechtlicher Natur ist. Die schweizerische Lehre verneint mehrheitlich eine Rückgabepflicht des Anfechtungsbeklagten für den Nutzen, den er bis zur Inverzugsetzung aus der anfechtbar erworbenen Sache gezogen hat. Während JAEGER (Kommentar, 3. Aufl., II. Bd., S. 406, N. 2 zu Art. 291 SchKG ) diese Auffassung nicht begründet, BGE 98 III 44 S. 46 lehnen BLUMENSTEIN (Handbuch des Schweiz. Schuldbetreibungsrechtes, S. 869) und HANGARTNER (Die Gläubigeranfechtung im schweizerischen Recht, Diss. Zürich, 1929, S. 69) eine Rückerstattungspflicht für bezogene Früchte deshalb ab, weil der Anfechtungsgegner diese ja nicht "erworben" habe, wie Art. 291 Abs. 1 SchKG es voraussetze. FAVRE (Droit des poursuites, 2e édition, S. 381) verneint eine Pflicht zur Rückgabe der natürlichen und zivilen Früchte bis zum Zeitpunkt des Verzuges, da der anfechtbar erworbene Vermögensgegenstand dem Anfechtungskläger in dem Zustand zur Verwertung zu überlassen sei, in dem er sich im Zeitpunkt der Veräusserung befunden habe. BRAND (Das Anfechtungsrecht der Gläubiger nach dem Bundesgesetz über Schuldbetreibung und Konkurs, Diss. Bern, 1902, S. 273) scheint die Rückerstattungspflicht für Erträgnisse bis zur Inverzugsetzung mit der Begründung abzulehnen, der Anfechtungsgegner befinde sich bis zur Anfechtung in der Lage eines gutgläubigen Besitzers im Sinne der Art. 938 und 939 ZGB . Die gegenteilige Ansicht, die zivilen und natürlichen Früchte seien zurückzuerstatten, vertreten BAUDAT (L'action révocatoire, Diss. Lausanne, 1911'S. 190/191) und BERZ (Der paulianische Rückerstattungsanspruch, Diss. Zürich, 1960, S. 110/111). Die Anfechtungsklage bezweckt, durch anfechtbare Handlungen dem Vermögen des Schuldners entfremdete Vermögenswerte ihrer ursprünglichen Bestimmung zurückzugeben und sie der Zwangsvollstreckung wieder zugänglich zu machen. Ihre Gutheissung bewirkt nicht die Ungültigkeit der anfechtbaren Handlung ( BGE 81 III 102 ), sondern verpflichtet den Anfechtungsbeklagten lediglich, die Konkursmasse so zu stellen, wie wenn die anfechtbare Handlung nicht vorgenommen worden wäre ( BGE 39 II 377 Erw. 6). Der Umfang der Rückerstattungspflicht richtet sich demnach nicht nach dem Zeitpunkt der anfechtbaren Handlung, sondern trägt auch der spätern Entwicklung Rechnung. Dies berücksichtigt die Rechtsprechung ( BGE 50 III 152 ), wenn sie den Anfechtungsbeklagten für eine zufällige Wertverminderung oder einen zufälligen Untergang des anfechtbar erworbenen Vermögenswertes bis zum Zeitpunkt, in dem die Sache spätestens zurückgegeben werden muss, nicht haften lässt. Der Auffassung von FAVRE, die grundsätzlich auf den Zustand im Zeitpunkt der Veräusserung abstellt, kann daher nicht gefolgt werden. Da die Anfechtung die materielle BGE 98 III 44 S. 47 Gültigkeit der Übertragung des zurückzugewährenden Gegenstandes nicht betrifft, der Anfechtungsbeklagte somit Eigentümer der Sache bleibt und diese als Eigentümer nutzt, geht es entgegen der Auffassung BRANDS auch nicht an, den Anfechtungsbeklagten dem gutgläubigen Besitzer einer fremden Sache gleichzustellen, der auf Grund der ausdrücklichen Bestimmung des Art. 938 Abs. 1 ZGB berechtigt ist, die fremde Sache ohne Ersatzpflicht seinem vermuteten Recht gemäss zu nutzen und zu gebrauchen (vgl. BERZ, a.a.O., S. 110/111). Der Ansicht HANGARTNERS und BLUMENSTEINS ist entgegenzuhalten, dass der Anfechtungsbeklagte mit dem anfechtbar erlangten Vermögenswert gleichsam die in diesem enthaltenen Anwartschaften, die sich auch beim Schuldner zu Vermögenswerten verdichtet hätten, miterworben hat (vgl. BERZ, a.a.O., S. 111 und BAUDAT, a.a.O., S. 192). Der Wortlaut des Art. 291 Abs. 1 SchKG steht demnach der Annahme, die Rückgabepflicht umfasse auch die Erträgnisse, nicht entgegen. Für die Pflicht zur Ablieferung der Erträgnisse spricht der bereits erwähnte Zweck der Anfechtungsklage, der die Wiederherstellung des schuldnerischen Vermögens verlangt, wie es ohne die anfechtbare Handlung vorhanden wäre. Diesem Zweck entspricht es, dass der Anfechtungsbeklagte grundsätzlich die Gefahr einer zufälligen Wertverminderung oder des zufälligen Unterganges der erworbenen Vermögensstücke nicht trägt ( BGE 50 III 150 /151 undBGE 65 III 149), ihm aber auch zufällige Wertsteigerungen nicht zugute kommen (was ausBGE 50 III 152hervorgeht). Trägt der Anfechtungsbeklagte die Gefahr nicht, so kann er auch den Nutzen aus diesen Vermögensstücken nicht beanspruchen. Eine andere Auffassung wäre inkonsequent. Die bis zur Inverzugsetzung aus der zurückzugewährenden Sache bezogenen Erträgnisse sind deshalb mit der Sache selbst zurückzuerstatten. Somit sind in Übereinstimmung mit der Vorinstanz die vom Beklagten aus dem Schuldbrief bezogenen Zinsen in den von ihm zu leistenden Wertersatz einzubeziehen. Wie die Vorinstanz zutreffend angenommen hat, ist der vom Beklagten geschuldete Betrag seit dem Zeitpunkt der Inverzugsetzung zu verzinsen (vgl. BGE 50 III 152 ). Gegen die Zinsberechnung als solche hat der Beklagte keine Einwendungen erhoben. Der den Klägern von der Vorinstanz zugesprochene Betrag ist daher auch im Quantitativ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